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bookmarkStart w:id="0" w:name="_GoBack"/>
      <w:bookmarkEnd w:id="0"/>
      <w:r>
        <w:rPr>
          <w:rFonts w:hint="default"/>
          <w:sz w:val="22"/>
        </w:rPr>
        <w:t>誓約書</w:t>
      </w:r>
    </w:p>
    <w:p>
      <w:pPr>
        <w:pStyle w:val="0"/>
        <w:spacing w:line="220" w:lineRule="exact"/>
        <w:jc w:val="both"/>
        <w:rPr>
          <w:rFonts w:hint="default"/>
          <w:sz w:val="20"/>
        </w:rPr>
      </w:pPr>
    </w:p>
    <w:p>
      <w:pPr>
        <w:pStyle w:val="0"/>
        <w:spacing w:after="0" w:afterLines="0" w:afterAutospacing="0" w:line="220" w:lineRule="exact"/>
        <w:ind w:left="0" w:firstLine="0"/>
        <w:jc w:val="both"/>
        <w:rPr>
          <w:rFonts w:hint="default"/>
          <w:sz w:val="20"/>
        </w:rPr>
      </w:pPr>
      <w:r>
        <w:rPr>
          <w:rFonts w:hint="eastAsia"/>
          <w:sz w:val="20"/>
        </w:rPr>
        <w:t>ニセコ</w:t>
      </w:r>
      <w:r>
        <w:rPr>
          <w:rFonts w:hint="default"/>
          <w:sz w:val="20"/>
        </w:rPr>
        <w:t>町より補助金の交付を受けるに当たり、下記の事項について誓約します。</w:t>
      </w:r>
    </w:p>
    <w:p>
      <w:pPr>
        <w:pStyle w:val="0"/>
        <w:numPr>
          <w:ilvl w:val="0"/>
          <w:numId w:val="1"/>
        </w:numPr>
        <w:spacing w:after="0" w:afterLines="0" w:afterAutospacing="0" w:line="220" w:lineRule="exact"/>
        <w:ind w:left="0" w:hanging="403"/>
        <w:jc w:val="both"/>
        <w:rPr>
          <w:rFonts w:hint="default"/>
          <w:sz w:val="20"/>
        </w:rPr>
      </w:pPr>
      <w:r>
        <w:rPr>
          <w:rFonts w:hint="default"/>
          <w:sz w:val="20"/>
        </w:rPr>
        <w:t>対象機器は、未使用品であること。（中古品及びリユース品は対象外とする。）</w:t>
      </w:r>
    </w:p>
    <w:p>
      <w:pPr>
        <w:pStyle w:val="0"/>
        <w:numPr>
          <w:ilvl w:val="0"/>
          <w:numId w:val="1"/>
        </w:numPr>
        <w:spacing w:after="0" w:afterLines="0" w:afterAutospacing="0" w:line="220" w:lineRule="exact"/>
        <w:ind w:left="0" w:hanging="403"/>
        <w:jc w:val="both"/>
        <w:rPr>
          <w:rFonts w:hint="default"/>
          <w:sz w:val="20"/>
        </w:rPr>
      </w:pPr>
      <w:r>
        <w:rPr>
          <w:rFonts w:hint="default"/>
          <w:sz w:val="20"/>
        </w:rPr>
        <w:t>対象機器は、性能が保証され、設置サポート等がメーカー等によって確保されていること。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対象機器は、各種法令に順守した設備であること。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設置した対象機器を</w:t>
      </w:r>
      <w:r>
        <w:rPr>
          <w:rFonts w:hint="eastAsia"/>
          <w:sz w:val="20"/>
        </w:rPr>
        <w:t>ニセコ</w:t>
      </w:r>
      <w:r>
        <w:rPr>
          <w:rFonts w:hint="default"/>
          <w:sz w:val="20"/>
        </w:rPr>
        <w:t>町外に移さないこと。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設置者が</w:t>
      </w:r>
      <w:r>
        <w:rPr>
          <w:rFonts w:hint="eastAsia"/>
          <w:sz w:val="20"/>
        </w:rPr>
        <w:t>ニセコ</w:t>
      </w:r>
      <w:r>
        <w:rPr>
          <w:rFonts w:hint="default"/>
          <w:sz w:val="20"/>
        </w:rPr>
        <w:t>町税を滞納しないこと。また、</w:t>
      </w:r>
      <w:r>
        <w:rPr>
          <w:rFonts w:hint="eastAsia"/>
          <w:sz w:val="20"/>
        </w:rPr>
        <w:t>ニセコ</w:t>
      </w:r>
      <w:r>
        <w:rPr>
          <w:rFonts w:hint="default"/>
          <w:sz w:val="20"/>
        </w:rPr>
        <w:t>町以外の者は現に住所を有する市町村税を滞納しないこと。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自己が所有しない住宅、事務所等に対象機器を設置し、当該住宅・事務所等の所有者及び補助対象者が変更される際は町長に報告すること。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再エネ特措法に基づく固定価格買取制度（</w:t>
      </w:r>
      <w:r>
        <w:rPr>
          <w:rFonts w:hint="default"/>
          <w:sz w:val="20"/>
        </w:rPr>
        <w:t>FIT</w:t>
      </w:r>
      <w:r>
        <w:rPr>
          <w:rFonts w:hint="default"/>
          <w:sz w:val="20"/>
        </w:rPr>
        <w:t>）の認定又は</w:t>
      </w:r>
      <w:r>
        <w:rPr>
          <w:rFonts w:hint="default"/>
          <w:sz w:val="20"/>
        </w:rPr>
        <w:t>FIP</w:t>
      </w:r>
      <w:r>
        <w:rPr>
          <w:rFonts w:hint="default"/>
          <w:sz w:val="20"/>
        </w:rPr>
        <w:t>制度の認定を取得しないこと。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第三者所有型である電力購入契約（</w:t>
      </w:r>
      <w:r>
        <w:rPr>
          <w:rFonts w:hint="default"/>
          <w:sz w:val="20"/>
        </w:rPr>
        <w:t>PPA)</w:t>
      </w:r>
      <w:r>
        <w:rPr>
          <w:rFonts w:hint="default"/>
          <w:sz w:val="20"/>
        </w:rPr>
        <w:t>又はリース契約をしないこと。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地域住民や地域の自治体と適切なコミュニケーションを図るとともに、地域住民に十分配慮して事業を実施するよう努めること。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関係法令及び条例の規定に従い、土地開発等の設計・施工を行うこと。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接続契約を締結している一般送配電事業者又は特定送配電事業者から国が定める出力制御の指針に基づいた出力制御の要請を受けたときは、適切な方法により協力すること。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防災、環境保全及び景観保全を考慮し、交付対象設備の設計を行うよう努めること。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20kW</w:t>
      </w:r>
      <w:r>
        <w:rPr>
          <w:rFonts w:hint="default"/>
          <w:sz w:val="20"/>
        </w:rPr>
        <w:t>以上の太陽光発電設備を設置する場合は、発電設備を囲う柵塀を設置するとともに、柵塀等の外側の見えやすい場所に標識（交付対象事業者の名称、代表者氏名、住所及び連絡先電話番号、保守点検責任者の名称、氏名、住所及び連絡先電話番号、運転開始年月日並びに本交付金により設置した旨を記載したもの）を掲示す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電気事業法の規定に基づく技術基準適合義務、立入検査及び報告徴収に対する資料の提出に対応するため、発電設備の設計図書やしゅん工試験データを含む完成図書を作成し、適切な方法で管理及び保存す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対象機器の</w:t>
      </w:r>
      <w:r>
        <w:rPr>
          <w:rFonts w:hint="eastAsia"/>
          <w:sz w:val="20"/>
        </w:rPr>
        <w:t>支払い又は</w:t>
      </w:r>
      <w:r>
        <w:rPr>
          <w:rFonts w:hint="default"/>
          <w:sz w:val="20"/>
        </w:rPr>
        <w:t>設置完了</w:t>
      </w:r>
      <w:r>
        <w:rPr>
          <w:rFonts w:hint="eastAsia"/>
          <w:sz w:val="20"/>
        </w:rPr>
        <w:t>から</w:t>
      </w:r>
      <w:r>
        <w:rPr>
          <w:rFonts w:hint="default"/>
          <w:sz w:val="20"/>
        </w:rPr>
        <w:t>30</w:t>
      </w:r>
      <w:r>
        <w:rPr>
          <w:rFonts w:hint="default"/>
          <w:sz w:val="20"/>
        </w:rPr>
        <w:t>日以内（廃止の承認を受けたときを含む。）</w:t>
      </w:r>
      <w:r>
        <w:rPr>
          <w:rFonts w:hint="eastAsia"/>
          <w:sz w:val="20"/>
        </w:rPr>
        <w:t>、</w:t>
      </w:r>
      <w:r>
        <w:rPr>
          <w:rFonts w:hint="default"/>
          <w:sz w:val="20"/>
        </w:rPr>
        <w:t>又は当該年度２月</w:t>
      </w:r>
      <w:r>
        <w:rPr>
          <w:rFonts w:hint="default"/>
          <w:sz w:val="20"/>
        </w:rPr>
        <w:t>10</w:t>
      </w:r>
      <w:r>
        <w:rPr>
          <w:rFonts w:hint="default"/>
          <w:sz w:val="20"/>
        </w:rPr>
        <w:t>日</w:t>
      </w:r>
      <w:r>
        <w:rPr>
          <w:rFonts w:hint="default"/>
          <w:sz w:val="20"/>
        </w:rPr>
        <w:t>(</w:t>
      </w:r>
      <w:r>
        <w:rPr>
          <w:rFonts w:hint="default"/>
          <w:sz w:val="20"/>
        </w:rPr>
        <w:t>土日祝日にあたる場合はその前日</w:t>
      </w:r>
      <w:r>
        <w:rPr>
          <w:rFonts w:hint="default"/>
          <w:sz w:val="20"/>
        </w:rPr>
        <w:t>)</w:t>
      </w:r>
      <w:r>
        <w:rPr>
          <w:rFonts w:hint="default"/>
          <w:sz w:val="20"/>
        </w:rPr>
        <w:t>のいずれか早い日までに必要書類を町長に提出すること。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対象機器は、法定耐用年数を経過するまで、この補助金交付の目的に反した使用、売却、譲渡、交換、廃棄、貸付け又は担保に供しないこと。ただし、災害等の自己の責めに帰さない事由で対象機器を処分する場合等、あらかじめ町長の承認を得た場合はこの限りでない。</w:t>
      </w:r>
    </w:p>
    <w:p>
      <w:pPr>
        <w:pStyle w:val="0"/>
        <w:numPr>
          <w:ilvl w:val="0"/>
          <w:numId w:val="1"/>
        </w:numPr>
        <w:spacing w:after="0" w:afterLines="0" w:afterAutospacing="0" w:line="220" w:lineRule="exact"/>
        <w:ind w:left="0" w:hanging="403"/>
        <w:jc w:val="both"/>
        <w:rPr>
          <w:rFonts w:hint="default"/>
          <w:sz w:val="20"/>
        </w:rPr>
      </w:pPr>
      <w:r>
        <w:rPr>
          <w:rFonts w:hint="default"/>
          <w:sz w:val="20"/>
        </w:rPr>
        <w:t>対象機器の法定耐用年数を経過するまでの間、本補助事業により取得した温室効果ガス排出削減効果について</w:t>
      </w:r>
      <w:r>
        <w:rPr>
          <w:rFonts w:hint="eastAsia"/>
          <w:sz w:val="20"/>
        </w:rPr>
        <w:t>　　</w:t>
      </w:r>
      <w:r>
        <w:rPr>
          <w:rFonts w:hint="default"/>
          <w:sz w:val="20"/>
        </w:rPr>
        <w:t>J</w:t>
      </w:r>
      <w:r>
        <w:rPr>
          <w:rFonts w:hint="default"/>
          <w:sz w:val="20"/>
        </w:rPr>
        <w:t>－クレジット制度等への登録をしないこと。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一般住宅は</w:t>
      </w:r>
      <w:r>
        <w:rPr>
          <w:rFonts w:hint="default"/>
          <w:sz w:val="20"/>
        </w:rPr>
        <w:t>30</w:t>
      </w:r>
      <w:r>
        <w:rPr>
          <w:rFonts w:hint="default"/>
          <w:sz w:val="20"/>
        </w:rPr>
        <w:t>％以上、</w:t>
      </w:r>
      <w:r>
        <w:rPr>
          <w:rFonts w:hint="eastAsia"/>
          <w:sz w:val="20"/>
        </w:rPr>
        <w:t>事業所等</w:t>
      </w:r>
      <w:r>
        <w:rPr>
          <w:rFonts w:hint="default"/>
          <w:sz w:val="20"/>
        </w:rPr>
        <w:t>が</w:t>
      </w:r>
      <w:r>
        <w:rPr>
          <w:rFonts w:hint="default"/>
          <w:sz w:val="20"/>
        </w:rPr>
        <w:t>50</w:t>
      </w:r>
      <w:r>
        <w:rPr>
          <w:rFonts w:hint="default"/>
          <w:sz w:val="20"/>
        </w:rPr>
        <w:t>％以上の自家消費率を敷地内で自ら消費すること。このため、環境省への実績値の報告等を目的として、法定耐用年数を経過するまでの間、発電量等の把握に関し、町にデータ等の提供をすること。</w:t>
      </w:r>
      <w:r>
        <w:rPr>
          <w:rFonts w:hint="eastAsia"/>
          <w:sz w:val="20"/>
        </w:rPr>
        <w:t>また、今後町が発電量等の計測機器及び通信機器一式を設置する際は、これを認めること。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対象機器は、善良な管理者の注意をもって管理するとともに、その効率的な運用を図ること。（</w:t>
      </w:r>
      <w:r>
        <w:rPr>
          <w:rFonts w:hint="default"/>
          <w:sz w:val="20"/>
        </w:rPr>
        <w:t>※</w:t>
      </w:r>
      <w:r>
        <w:rPr>
          <w:rFonts w:hint="default"/>
          <w:sz w:val="20"/>
        </w:rPr>
        <w:t>設備の設置後、適切な保守点検及び維持管理を実施すること。）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防災、環境保全、景観保全の観点から計画段階で予期しなかった問題が生じた場合、適切な対策を講じ、災害防止や自然破壊、近隣への配慮を行うよう努めること。</w:t>
      </w:r>
    </w:p>
    <w:p>
      <w:pPr>
        <w:pStyle w:val="0"/>
        <w:numPr>
          <w:ilvl w:val="0"/>
          <w:numId w:val="1"/>
        </w:numPr>
        <w:spacing w:after="0" w:afterLines="0" w:afterAutospacing="0" w:line="220" w:lineRule="exact"/>
        <w:ind w:left="0" w:hanging="403"/>
        <w:jc w:val="both"/>
        <w:rPr>
          <w:rFonts w:hint="default"/>
          <w:sz w:val="20"/>
        </w:rPr>
      </w:pPr>
      <w:r>
        <w:rPr>
          <w:rFonts w:hint="default"/>
          <w:sz w:val="20"/>
        </w:rPr>
        <w:t>関係法令及び条例の規定に従い、対象機器を処分すること。</w:t>
      </w:r>
    </w:p>
    <w:p>
      <w:pPr>
        <w:pStyle w:val="0"/>
        <w:numPr>
          <w:ilvl w:val="0"/>
          <w:numId w:val="2"/>
        </w:numPr>
        <w:spacing w:after="0" w:afterLines="0" w:afterAutospacing="0" w:line="220" w:lineRule="exact"/>
        <w:ind w:left="0" w:hanging="403"/>
        <w:jc w:val="both"/>
        <w:rPr>
          <w:rFonts w:hint="default"/>
          <w:sz w:val="20"/>
        </w:rPr>
      </w:pPr>
      <w:r>
        <w:rPr>
          <w:rFonts w:hint="default"/>
          <w:sz w:val="20"/>
        </w:rPr>
        <w:t>10kW</w:t>
      </w:r>
      <w:r>
        <w:rPr>
          <w:rFonts w:hint="default"/>
          <w:sz w:val="20"/>
        </w:rPr>
        <w:t>以上の太陽光発電設備の解体、撤去等にかかる費用について、「廃棄等費用積立ガイドライン」（資源エネルギー庁）を参考に、必要な経費を算定し、積立て等の方法により確保する計画を策定し、その計画に従い適切な経費の積立て等を行い、発電事業の終了時において、適切な廃棄又はリサイクルを実施すること。</w:t>
      </w:r>
    </w:p>
    <w:p>
      <w:pPr>
        <w:pStyle w:val="0"/>
        <w:numPr>
          <w:ilvl w:val="0"/>
          <w:numId w:val="2"/>
        </w:numPr>
        <w:spacing w:after="0" w:afterLines="0" w:afterAutospacing="0" w:line="220" w:lineRule="exact"/>
        <w:ind w:left="0" w:hanging="403"/>
        <w:jc w:val="both"/>
        <w:rPr>
          <w:rFonts w:hint="default"/>
          <w:sz w:val="20"/>
        </w:rPr>
      </w:pPr>
      <w:r>
        <w:rPr>
          <w:rFonts w:hint="default"/>
          <w:sz w:val="20"/>
        </w:rPr>
        <w:t>10kW</w:t>
      </w:r>
      <w:r>
        <w:rPr>
          <w:rFonts w:hint="default"/>
          <w:sz w:val="20"/>
        </w:rPr>
        <w:t>未満の太陽光発電設備の場合は、「事業計画策定ガイドライン（太陽光発電事業者）」（資源エネルギー庁）第２章第５節で述べられているとおり、必要な経費を見込んだ事業計画を策定するように努めつつ、適切な廃棄又はリサイクルを実施すること。</w:t>
      </w:r>
    </w:p>
    <w:p>
      <w:pPr>
        <w:pStyle w:val="0"/>
        <w:numPr>
          <w:ilvl w:val="0"/>
          <w:numId w:val="2"/>
        </w:numPr>
        <w:spacing w:after="0" w:afterLines="0" w:afterAutospacing="0" w:line="220" w:lineRule="exact"/>
        <w:ind w:left="0" w:hanging="403"/>
        <w:jc w:val="both"/>
        <w:rPr>
          <w:rFonts w:hint="default"/>
          <w:sz w:val="20"/>
        </w:rPr>
      </w:pPr>
      <w:r>
        <w:rPr>
          <w:rFonts w:hint="eastAsia"/>
          <w:sz w:val="20"/>
        </w:rPr>
        <w:t>蓄電池については、必要な経費を見込んだ事業計画を策定するように努めること。使用済み蓄電池を適切に廃棄、又は回収する方法について登録対象機器の添付書類に明記されていること、又は蓄電池部分が分離されるものについては、蓄電池分の添付書類に明記されており、これらに準じた適切な廃棄・リサイクルを実施すること。</w:t>
      </w:r>
    </w:p>
    <w:p>
      <w:pPr>
        <w:pStyle w:val="0"/>
        <w:numPr>
          <w:ilvl w:val="0"/>
          <w:numId w:val="2"/>
        </w:numPr>
        <w:spacing w:after="0" w:afterLines="0" w:afterAutospacing="0" w:line="220" w:lineRule="exact"/>
        <w:ind w:left="0" w:hanging="403"/>
        <w:jc w:val="both"/>
        <w:rPr>
          <w:rFonts w:hint="default"/>
          <w:sz w:val="20"/>
        </w:rPr>
      </w:pPr>
      <w:r>
        <w:rPr>
          <w:rFonts w:hint="eastAsia"/>
          <w:sz w:val="20"/>
        </w:rPr>
        <w:t>新築戸建て住宅については、</w:t>
      </w:r>
      <w:r>
        <w:rPr>
          <w:rFonts w:hint="default"/>
          <w:sz w:val="20"/>
        </w:rPr>
        <w:t>ZEH</w:t>
      </w:r>
      <w:r>
        <w:rPr>
          <w:rFonts w:hint="default"/>
          <w:sz w:val="20"/>
        </w:rPr>
        <w:t>ロードマップにおける「</w:t>
      </w:r>
      <w:r>
        <w:rPr>
          <w:rFonts w:hint="default"/>
          <w:sz w:val="20"/>
        </w:rPr>
        <w:t>ZEH</w:t>
      </w:r>
      <w:r>
        <w:rPr>
          <w:rFonts w:hint="default"/>
          <w:sz w:val="20"/>
        </w:rPr>
        <w:t>」の定義を満たして</w:t>
      </w:r>
      <w:r>
        <w:rPr>
          <w:rFonts w:hint="eastAsia"/>
          <w:sz w:val="20"/>
        </w:rPr>
        <w:t>おり、省エネルギー性能表示にて、「</w:t>
      </w:r>
      <w:r>
        <w:rPr>
          <w:rFonts w:hint="default"/>
          <w:sz w:val="20"/>
        </w:rPr>
        <w:t>ZEH</w:t>
      </w:r>
      <w:r>
        <w:rPr>
          <w:rFonts w:hint="eastAsia"/>
          <w:sz w:val="20"/>
        </w:rPr>
        <w:t>+</w:t>
      </w:r>
      <w:r>
        <w:rPr>
          <w:rFonts w:hint="default"/>
          <w:sz w:val="20"/>
        </w:rPr>
        <w:t>」であることを示す証書を取得すること。</w:t>
      </w:r>
    </w:p>
    <w:p>
      <w:pPr>
        <w:pStyle w:val="0"/>
        <w:numPr>
          <w:ilvl w:val="0"/>
          <w:numId w:val="2"/>
        </w:numPr>
        <w:spacing w:after="0" w:afterLines="0" w:afterAutospacing="0" w:line="220" w:lineRule="exact"/>
        <w:ind w:left="0" w:hanging="403"/>
        <w:jc w:val="both"/>
        <w:rPr>
          <w:rFonts w:hint="default"/>
          <w:sz w:val="20"/>
        </w:rPr>
      </w:pPr>
      <w:r>
        <w:rPr>
          <w:rFonts w:hint="eastAsia"/>
          <w:sz w:val="20"/>
        </w:rPr>
        <w:t>新築戸建て住宅の設計一次エネルギー消費量は、再エネ等を除き、基準一次エネルギー消費量から</w:t>
      </w:r>
      <w:r>
        <w:rPr>
          <w:rFonts w:hint="default"/>
          <w:sz w:val="20"/>
        </w:rPr>
        <w:t>25</w:t>
      </w:r>
      <w:r>
        <w:rPr>
          <w:rFonts w:hint="default"/>
          <w:sz w:val="20"/>
        </w:rPr>
        <w:t>％以上削減されていること。</w:t>
      </w:r>
      <w:r>
        <w:rPr>
          <w:rFonts w:hint="eastAsia"/>
          <w:sz w:val="20"/>
        </w:rPr>
        <w:t>また、住宅の外皮性能は、ニセコスタンダード住宅の基準の</w:t>
      </w:r>
      <w:r>
        <w:rPr>
          <w:rFonts w:hint="default"/>
          <w:sz w:val="20"/>
        </w:rPr>
        <w:t>UA</w:t>
      </w:r>
      <w:r>
        <w:rPr>
          <w:rFonts w:hint="default"/>
          <w:sz w:val="20"/>
        </w:rPr>
        <w:t>値</w:t>
      </w:r>
      <w:r>
        <w:rPr>
          <w:rFonts w:hint="eastAsia"/>
          <w:sz w:val="20"/>
        </w:rPr>
        <w:t>0.28</w:t>
      </w:r>
      <w:r>
        <w:rPr>
          <w:rFonts w:hint="default"/>
          <w:sz w:val="20"/>
        </w:rPr>
        <w:t>以下であること。</w:t>
      </w:r>
    </w:p>
    <w:p>
      <w:pPr>
        <w:pStyle w:val="0"/>
        <w:numPr>
          <w:ilvl w:val="0"/>
          <w:numId w:val="2"/>
        </w:numPr>
        <w:spacing w:after="0" w:afterLines="0" w:afterAutospacing="0" w:line="220" w:lineRule="exact"/>
        <w:ind w:left="0" w:hanging="403"/>
        <w:jc w:val="both"/>
        <w:rPr>
          <w:rFonts w:hint="default"/>
          <w:sz w:val="20"/>
        </w:rPr>
      </w:pPr>
      <w:r>
        <w:rPr>
          <w:rFonts w:hint="eastAsia"/>
          <w:sz w:val="20"/>
        </w:rPr>
        <w:t>EV</w:t>
      </w:r>
      <w:r>
        <w:rPr>
          <w:rFonts w:hint="eastAsia"/>
          <w:sz w:val="20"/>
        </w:rPr>
        <w:t>自動車（カーシェア）については、車両の走行による想定年間消費電力量をまかなうことができる再エネ発電設備と接続して、充電を行うものであること。ただし再エネ発電設備を設置できない場合、又は想定年間消費電力量に対して設備容量が不足する場合については、その不足分について再エネ電力証書の購入又は再エネ電力メニューからの調達を行うこと。</w:t>
      </w:r>
    </w:p>
    <w:p>
      <w:pPr>
        <w:pStyle w:val="0"/>
        <w:numPr>
          <w:ilvl w:val="0"/>
          <w:numId w:val="2"/>
        </w:numPr>
        <w:spacing w:after="0" w:afterLines="0" w:afterAutospacing="0" w:line="220" w:lineRule="exact"/>
        <w:ind w:left="0" w:hanging="403"/>
        <w:jc w:val="both"/>
        <w:rPr>
          <w:rFonts w:hint="default"/>
          <w:color w:val="auto"/>
          <w:sz w:val="20"/>
        </w:rPr>
      </w:pPr>
      <w:r>
        <w:rPr>
          <w:rFonts w:hint="eastAsia"/>
          <w:color w:val="auto"/>
          <w:sz w:val="20"/>
        </w:rPr>
        <w:t>個人においては、暴力団員による不当な行為の防止等に関する法律（平成３年法律第</w:t>
      </w:r>
      <w:r>
        <w:rPr>
          <w:rFonts w:hint="default"/>
          <w:color w:val="auto"/>
          <w:sz w:val="20"/>
        </w:rPr>
        <w:t>77</w:t>
      </w:r>
      <w:r>
        <w:rPr>
          <w:rFonts w:hint="default"/>
          <w:color w:val="auto"/>
          <w:sz w:val="20"/>
        </w:rPr>
        <w:t>号）第２条第６号に規定する暴力団員でないこと及び暴力団員等が出資、融資、取引その他の関係を通じてその事業活動に支配的な影響力を有する者でないこと。</w:t>
      </w:r>
      <w:r>
        <w:rPr>
          <w:rFonts w:hint="eastAsia"/>
          <w:color w:val="auto"/>
          <w:sz w:val="20"/>
        </w:rPr>
        <w:t>事業者においては、暴力団員による不当な行為の防止等に関する法律（平成３年法律第</w:t>
      </w:r>
      <w:r>
        <w:rPr>
          <w:rFonts w:hint="default"/>
          <w:color w:val="auto"/>
          <w:sz w:val="20"/>
        </w:rPr>
        <w:t>77</w:t>
      </w:r>
      <w:r>
        <w:rPr>
          <w:rFonts w:hint="default"/>
          <w:color w:val="auto"/>
          <w:sz w:val="20"/>
        </w:rPr>
        <w:t>号）第２条第６号に規定する暴力団員が事業者内にいないこと。また暴力団、及び暴力団員と取引、契約、借金、部屋の賃貸など行っていないこと。</w:t>
      </w:r>
    </w:p>
    <w:p>
      <w:pPr>
        <w:pStyle w:val="0"/>
        <w:numPr>
          <w:ilvl w:val="0"/>
          <w:numId w:val="2"/>
        </w:numPr>
        <w:spacing w:after="0" w:afterLines="0" w:afterAutospacing="0" w:line="220" w:lineRule="exact"/>
        <w:ind w:left="2" w:leftChars="-202" w:hanging="426" w:hangingChars="213"/>
        <w:jc w:val="both"/>
        <w:rPr>
          <w:rFonts w:hint="default"/>
          <w:sz w:val="20"/>
        </w:rPr>
      </w:pPr>
      <w:r>
        <w:rPr>
          <w:rFonts w:hint="default"/>
          <w:sz w:val="20"/>
        </w:rPr>
        <w:t>その他、地域脱炭素移行・再エネ推進交付金実施</w:t>
      </w:r>
      <w:r>
        <w:rPr>
          <w:rFonts w:hint="default"/>
          <w:color w:val="auto"/>
          <w:sz w:val="20"/>
        </w:rPr>
        <w:t>要領（令和</w:t>
      </w:r>
      <w:r>
        <w:rPr>
          <w:rFonts w:hint="eastAsia"/>
          <w:color w:val="auto"/>
          <w:sz w:val="20"/>
        </w:rPr>
        <w:t>６</w:t>
      </w:r>
      <w:r>
        <w:rPr>
          <w:rFonts w:hint="default"/>
          <w:color w:val="auto"/>
          <w:sz w:val="20"/>
        </w:rPr>
        <w:t>年</w:t>
      </w:r>
      <w:r>
        <w:rPr>
          <w:rFonts w:hint="eastAsia"/>
          <w:color w:val="auto"/>
          <w:sz w:val="20"/>
        </w:rPr>
        <w:t>３</w:t>
      </w:r>
      <w:r>
        <w:rPr>
          <w:rFonts w:hint="default"/>
          <w:color w:val="auto"/>
          <w:sz w:val="20"/>
        </w:rPr>
        <w:t>月</w:t>
      </w:r>
      <w:r>
        <w:rPr>
          <w:rFonts w:hint="eastAsia"/>
          <w:color w:val="auto"/>
          <w:sz w:val="20"/>
        </w:rPr>
        <w:t>１</w:t>
      </w:r>
      <w:r>
        <w:rPr>
          <w:rFonts w:hint="default"/>
          <w:color w:val="auto"/>
          <w:sz w:val="20"/>
        </w:rPr>
        <w:t>日環政計発第</w:t>
      </w:r>
      <w:r>
        <w:rPr>
          <w:rFonts w:hint="default"/>
          <w:color w:val="auto"/>
          <w:sz w:val="20"/>
        </w:rPr>
        <w:t>2</w:t>
      </w:r>
      <w:r>
        <w:rPr>
          <w:rFonts w:hint="eastAsia"/>
          <w:color w:val="auto"/>
          <w:sz w:val="20"/>
        </w:rPr>
        <w:t>403011</w:t>
      </w:r>
      <w:r>
        <w:rPr>
          <w:rFonts w:hint="default"/>
          <w:color w:val="auto"/>
          <w:sz w:val="20"/>
        </w:rPr>
        <w:t>号。）別紙２の２（２）ア（ア）、</w:t>
      </w:r>
      <w:r>
        <w:rPr>
          <w:rFonts w:hint="default"/>
          <w:color w:val="auto"/>
          <w:sz w:val="20"/>
        </w:rPr>
        <w:t>(</w:t>
      </w:r>
      <w:r>
        <w:rPr>
          <w:rFonts w:hint="default"/>
          <w:color w:val="auto"/>
          <w:sz w:val="20"/>
        </w:rPr>
        <w:t>イ</w:t>
      </w:r>
      <w:r>
        <w:rPr>
          <w:rFonts w:hint="default"/>
          <w:color w:val="auto"/>
          <w:sz w:val="20"/>
        </w:rPr>
        <w:t>)</w:t>
      </w:r>
      <w:r>
        <w:rPr>
          <w:rFonts w:hint="default"/>
          <w:color w:val="auto"/>
          <w:sz w:val="20"/>
        </w:rPr>
        <w:t>、</w:t>
      </w:r>
      <w:r>
        <w:rPr>
          <w:rFonts w:hint="default"/>
          <w:color w:val="auto"/>
          <w:sz w:val="20"/>
        </w:rPr>
        <w:t>(</w:t>
      </w:r>
      <w:r>
        <w:rPr>
          <w:rFonts w:hint="default"/>
          <w:color w:val="auto"/>
          <w:sz w:val="20"/>
        </w:rPr>
        <w:t>カ</w:t>
      </w:r>
      <w:r>
        <w:rPr>
          <w:rFonts w:hint="default"/>
          <w:color w:val="auto"/>
          <w:sz w:val="20"/>
        </w:rPr>
        <w:t>)</w:t>
      </w:r>
      <w:r>
        <w:rPr>
          <w:rFonts w:hint="eastAsia"/>
          <w:color w:val="auto"/>
          <w:sz w:val="20"/>
        </w:rPr>
        <w:t>、</w:t>
      </w:r>
      <w:r>
        <w:rPr>
          <w:rFonts w:hint="default"/>
          <w:color w:val="auto"/>
          <w:sz w:val="20"/>
        </w:rPr>
        <w:t>エ</w:t>
      </w:r>
      <w:r>
        <w:rPr>
          <w:rFonts w:hint="eastAsia"/>
          <w:color w:val="auto"/>
          <w:sz w:val="20"/>
        </w:rPr>
        <w:t>（ツ）、</w:t>
      </w:r>
      <w:r>
        <w:rPr>
          <w:rFonts w:hint="default"/>
          <w:color w:val="auto"/>
          <w:sz w:val="20"/>
        </w:rPr>
        <w:t>（ヌ）</w:t>
      </w:r>
      <w:r>
        <w:rPr>
          <w:rFonts w:hint="eastAsia"/>
          <w:color w:val="auto"/>
          <w:sz w:val="20"/>
        </w:rPr>
        <w:t>及びオ（ハ）</w:t>
      </w:r>
      <w:r>
        <w:rPr>
          <w:rFonts w:hint="default"/>
          <w:color w:val="auto"/>
          <w:sz w:val="20"/>
        </w:rPr>
        <w:t>に定</w:t>
      </w:r>
      <w:r>
        <w:rPr>
          <w:rFonts w:hint="default"/>
          <w:sz w:val="20"/>
        </w:rPr>
        <w:t>める交付要件を満たすこと。</w:t>
      </w:r>
    </w:p>
    <w:p>
      <w:pPr>
        <w:pStyle w:val="0"/>
        <w:spacing w:after="0" w:afterLines="0" w:afterAutospacing="0" w:line="220" w:lineRule="exact"/>
        <w:ind w:left="0" w:firstLine="0"/>
        <w:rPr>
          <w:rFonts w:hint="default"/>
          <w:sz w:val="20"/>
        </w:rPr>
      </w:pPr>
    </w:p>
    <w:p>
      <w:pPr>
        <w:pStyle w:val="0"/>
        <w:spacing w:after="0" w:afterLines="0" w:afterAutospacing="0" w:line="220" w:lineRule="exact"/>
        <w:ind w:left="0" w:firstLine="0"/>
        <w:rPr>
          <w:rFonts w:hint="default"/>
          <w:sz w:val="20"/>
        </w:rPr>
      </w:pPr>
    </w:p>
    <w:tbl>
      <w:tblPr>
        <w:tblStyle w:val="29"/>
        <w:tblpPr w:leftFromText="142" w:rightFromText="142" w:topFromText="0" w:bottomFromText="0" w:vertAnchor="text" w:horzAnchor="text" w:tblpX="567" w:tblpY="-2"/>
        <w:tblW w:w="9548" w:type="dxa"/>
        <w:tblLayout w:type="fixed"/>
        <w:tblLook w:firstRow="1" w:lastRow="0" w:firstColumn="1" w:lastColumn="0" w:noHBand="0" w:noVBand="1" w:val="04A0"/>
      </w:tblPr>
      <w:tblGrid>
        <w:gridCol w:w="3261"/>
        <w:gridCol w:w="6287"/>
      </w:tblGrid>
      <w:tr>
        <w:trPr>
          <w:trHeight w:val="340" w:hRule="atLeast"/>
        </w:trPr>
        <w:tc>
          <w:tcPr>
            <w:tcW w:w="3261" w:type="dxa"/>
            <w:tcBorders>
              <w:top w:val="nil"/>
              <w:left w:val="nil"/>
              <w:bottom w:val="none" w:color="auto" w:sz="0" w:space="0"/>
              <w:right w:val="nil"/>
              <w:tl2br w:val="none" w:color="auto" w:sz="0" w:space="0"/>
              <w:tr2bl w:val="none" w:color="auto" w:sz="0" w:space="0"/>
            </w:tcBorders>
            <w:vAlign w:val="bottom"/>
          </w:tcPr>
          <w:p>
            <w:pPr>
              <w:pStyle w:val="0"/>
              <w:wordWrap w:val="0"/>
              <w:spacing w:after="0" w:afterLines="0" w:afterAutospacing="0" w:line="240" w:lineRule="exact"/>
              <w:ind w:left="0" w:firstLine="0"/>
              <w:jc w:val="right"/>
              <w:rPr>
                <w:rFonts w:hint="default"/>
                <w:sz w:val="20"/>
              </w:rPr>
            </w:pPr>
            <w:r>
              <w:rPr>
                <w:rFonts w:hint="default"/>
                <w:sz w:val="20"/>
              </w:rPr>
              <w:t>年</w:t>
            </w:r>
            <w:r>
              <w:rPr>
                <w:rFonts w:hint="default"/>
                <w:sz w:val="20"/>
              </w:rPr>
              <w:t xml:space="preserve">  </w:t>
            </w:r>
            <w:r>
              <w:rPr>
                <w:rFonts w:hint="default"/>
                <w:sz w:val="20"/>
              </w:rPr>
              <w:t>　</w:t>
            </w:r>
            <w:r>
              <w:rPr>
                <w:rFonts w:hint="default"/>
                <w:sz w:val="20"/>
              </w:rPr>
              <w:t xml:space="preserve"> </w:t>
            </w:r>
            <w:r>
              <w:rPr>
                <w:rFonts w:hint="default"/>
                <w:sz w:val="20"/>
              </w:rPr>
              <w:t>月</w:t>
            </w:r>
            <w:r>
              <w:rPr>
                <w:rFonts w:hint="default"/>
                <w:sz w:val="20"/>
              </w:rPr>
              <w:t xml:space="preserve">   </w:t>
            </w:r>
            <w:r>
              <w:rPr>
                <w:rFonts w:hint="default"/>
                <w:sz w:val="20"/>
              </w:rPr>
              <w:t>　日</w:t>
            </w:r>
            <w:r>
              <w:rPr>
                <w:rFonts w:hint="eastAsia"/>
                <w:sz w:val="20"/>
              </w:rPr>
              <w:t>　</w:t>
            </w:r>
          </w:p>
        </w:tc>
        <w:tc>
          <w:tcPr>
            <w:tcW w:w="6287" w:type="dxa"/>
            <w:tcBorders>
              <w:top w:val="nil"/>
              <w:left w:val="nil"/>
              <w:bottom w:val="none" w:color="auto" w:sz="0" w:space="0"/>
              <w:right w:val="nil"/>
              <w:tl2br w:val="none" w:color="auto" w:sz="0" w:space="0"/>
              <w:tr2bl w:val="none" w:color="auto" w:sz="0" w:space="0"/>
            </w:tcBorders>
            <w:vAlign w:val="bottom"/>
          </w:tcPr>
          <w:p>
            <w:pPr>
              <w:pStyle w:val="0"/>
              <w:spacing w:after="0" w:afterLines="0" w:afterAutospacing="0" w:line="240" w:lineRule="exact"/>
              <w:ind w:left="0" w:firstLine="0"/>
              <w:jc w:val="both"/>
              <w:rPr>
                <w:rFonts w:hint="default"/>
                <w:sz w:val="20"/>
              </w:rPr>
            </w:pPr>
            <w:r>
              <w:rPr>
                <w:rFonts w:hint="default"/>
                <w:sz w:val="20"/>
              </w:rPr>
              <w:t>署名</w:t>
            </w:r>
          </w:p>
        </w:tc>
      </w:tr>
    </w:tbl>
    <w:p>
      <w:pPr>
        <w:pStyle w:val="0"/>
        <w:spacing w:after="0" w:afterLines="0" w:afterAutospacing="0" w:line="240" w:lineRule="auto"/>
        <w:ind w:left="0" w:right="57" w:firstLine="0"/>
        <w:jc w:val="right"/>
        <w:rPr>
          <w:rFonts w:hint="default"/>
          <w:sz w:val="20"/>
        </w:rPr>
      </w:pPr>
    </w:p>
    <w:sectPr>
      <w:pgSz w:w="11906" w:h="16838"/>
      <w:pgMar w:top="851" w:right="834" w:bottom="851" w:left="947"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5A4B20C"/>
    <w:lvl w:ilvl="0" w:tplc="E8BC1896">
      <w:start w:val="1"/>
      <w:numFmt w:val="decimal"/>
      <w:lvlText w:val="%1"/>
      <w:lvlJc w:val="left"/>
      <w:pPr>
        <w:ind w:left="403"/>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1" w:tplc="BB761BCC">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D98A2812">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A3FA6188">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361645B0">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E724D736">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DBAA957C">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402E787A">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6DDE46E0">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abstractNum w:abstractNumId="1">
    <w:nsid w:val="00000002"/>
    <w:multiLevelType w:val="hybridMultilevel"/>
    <w:tmpl w:val="9B78ED28"/>
    <w:lvl w:ilvl="0" w:tplc="AA7CE5D6">
      <w:start w:val="22"/>
      <w:numFmt w:val="decimal"/>
      <w:lvlText w:val="%1"/>
      <w:lvlJc w:val="left"/>
      <w:pPr>
        <w:ind w:left="403"/>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1" w:tplc="BEF06FAE">
      <w:start w:val="1"/>
      <w:numFmt w:val="lowerLetter"/>
      <w:lvlText w:val="%2"/>
      <w:lvlJc w:val="left"/>
      <w:pPr>
        <w:ind w:left="10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2" w:tplc="C29E9B6E">
      <w:start w:val="1"/>
      <w:numFmt w:val="lowerRoman"/>
      <w:lvlText w:val="%3"/>
      <w:lvlJc w:val="left"/>
      <w:pPr>
        <w:ind w:left="18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3" w:tplc="63FE9752">
      <w:start w:val="1"/>
      <w:numFmt w:val="decimal"/>
      <w:lvlText w:val="%4"/>
      <w:lvlJc w:val="left"/>
      <w:pPr>
        <w:ind w:left="25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4" w:tplc="8F7E816E">
      <w:start w:val="1"/>
      <w:numFmt w:val="lowerLetter"/>
      <w:lvlText w:val="%5"/>
      <w:lvlJc w:val="left"/>
      <w:pPr>
        <w:ind w:left="324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5" w:tplc="D7822C8A">
      <w:start w:val="1"/>
      <w:numFmt w:val="lowerRoman"/>
      <w:lvlText w:val="%6"/>
      <w:lvlJc w:val="left"/>
      <w:pPr>
        <w:ind w:left="396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6" w:tplc="39E8F94C">
      <w:start w:val="1"/>
      <w:numFmt w:val="decimal"/>
      <w:lvlText w:val="%7"/>
      <w:lvlJc w:val="left"/>
      <w:pPr>
        <w:ind w:left="468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7" w:tplc="7FEE2DB2">
      <w:start w:val="1"/>
      <w:numFmt w:val="lowerLetter"/>
      <w:lvlText w:val="%8"/>
      <w:lvlJc w:val="left"/>
      <w:pPr>
        <w:ind w:left="540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lvl w:ilvl="8" w:tplc="7876B306">
      <w:start w:val="1"/>
      <w:numFmt w:val="lowerRoman"/>
      <w:lvlText w:val="%9"/>
      <w:lvlJc w:val="left"/>
      <w:pPr>
        <w:ind w:left="6120"/>
      </w:pPr>
      <w:rPr>
        <w:rFonts w:ascii="ＭＳ 明朝" w:hAnsi="ＭＳ 明朝" w:eastAsia="ＭＳ 明朝"/>
        <w:b w:val="0"/>
        <w:i w:val="0"/>
        <w:strike w:val="0"/>
        <w:dstrike w:val="0"/>
        <w:color w:val="000000"/>
        <w:sz w:val="21"/>
        <w:u w:val="none" w:color="000000"/>
        <w:bdr w:val="none" w:color="auto" w:sz="0" w:space="0"/>
        <w:shd w:val="clear" w:color="auto" w:fill="auto"/>
        <w:vertAlign w:val="baseline"/>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14" w:afterLines="0" w:afterAutospacing="0" w:line="248" w:lineRule="auto"/>
      <w:ind w:left="415" w:hanging="413"/>
    </w:pPr>
    <w:rPr>
      <w:rFonts w:ascii="ＭＳ 明朝" w:hAnsi="ＭＳ 明朝" w:eastAsia="ＭＳ 明朝"/>
      <w:color w:val="000000"/>
    </w:rPr>
  </w:style>
  <w:style w:type="paragraph" w:styleId="1">
    <w:name w:val="heading 1"/>
    <w:next w:val="0"/>
    <w:link w:val="15"/>
    <w:uiPriority w:val="0"/>
    <w:qFormat/>
    <w:pPr>
      <w:keepNext w:val="1"/>
      <w:keepLines w:val="1"/>
      <w:spacing w:after="49" w:afterLines="0" w:afterAutospacing="0" w:line="265" w:lineRule="auto"/>
      <w:ind w:left="29" w:hanging="10"/>
      <w:jc w:val="center"/>
      <w:outlineLvl w:val="0"/>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rPr>
  </w:style>
  <w:style w:type="paragraph" w:styleId="20">
    <w:name w:val="List Paragraph"/>
    <w:basedOn w:val="0"/>
    <w:next w:val="20"/>
    <w:link w:val="0"/>
    <w:uiPriority w:val="0"/>
    <w:qFormat/>
    <w:pPr>
      <w:ind w:left="840" w:leftChars="400"/>
    </w:p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ＭＳ 明朝" w:hAnsi="ＭＳ 明朝" w:eastAsia="ＭＳ 明朝"/>
      <w:color w:val="00000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eastAsia="ＭＳ 明朝"/>
      <w:b w:val="1"/>
      <w:color w:val="00000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customStyle="1">
    <w:name w:val="TableGrid"/>
    <w:basedOn w:val="11"/>
    <w:next w:val="28"/>
    <w:link w:val="0"/>
    <w:uiPriority w:val="0"/>
    <w:tblPr>
      <w:tblStyleRowBandSize w:val="1"/>
      <w:tblStyleColBandSize w:val="1"/>
      <w:tblCellMar>
        <w:top w:w="0" w:type="dxa"/>
        <w:bottom w:w="0" w:type="dxa"/>
        <w:left w:w="0" w:type="dxa"/>
        <w:right w:w="0" w:type="dxa"/>
      </w:tblCellMar>
    </w:tblPr>
    <w:trPr/>
    <w:tc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22</Words>
  <Characters>2500</Characters>
  <Application>JUST Note</Application>
  <Lines>66</Lines>
  <Paragraphs>33</Paragraphs>
  <CharactersWithSpaces>2511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02 ,÷Ø Ü©Ñ¤Ø3Ëø|ﬁøý€90906.xlsx</dc:title>
  <dc:creator>kikaku5</dc:creator>
  <cp:lastModifiedBy>長谷部 翔馬</cp:lastModifiedBy>
  <cp:lastPrinted>2024-03-05T07:18:00Z</cp:lastPrinted>
  <dcterms:created xsi:type="dcterms:W3CDTF">2024-04-10T01:47:00Z</dcterms:created>
  <dcterms:modified xsi:type="dcterms:W3CDTF">2024-08-21T06:45:58Z</dcterms:modified>
  <cp:revision>12</cp:revision>
</cp:coreProperties>
</file>