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 w:line="340" w:lineRule="exact"/>
        <w:jc w:val="left"/>
        <w:rPr>
          <w:rFonts w:hint="default"/>
        </w:rPr>
      </w:pPr>
      <w:r>
        <w:rPr>
          <w:rFonts w:hint="eastAsia"/>
        </w:rPr>
        <w:t>別記第</w:t>
      </w:r>
      <w:r>
        <w:rPr>
          <w:rFonts w:hint="eastAsia"/>
        </w:rPr>
        <w:t>15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pacing w:after="0" w:afterLines="0" w:afterAutospacing="0" w:line="340" w:lineRule="exact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</w:t>
      </w:r>
      <w:r>
        <w:rPr>
          <w:rFonts w:hint="eastAsia"/>
          <w:spacing w:val="208"/>
          <w:kern w:val="0"/>
          <w:fitText w:val="2090" w:id="1"/>
        </w:rPr>
        <w:t>第　　</w:t>
      </w:r>
      <w:r>
        <w:rPr>
          <w:rFonts w:hint="eastAsia"/>
          <w:spacing w:val="1"/>
          <w:kern w:val="0"/>
          <w:fitText w:val="2090" w:id="1"/>
        </w:rPr>
        <w:t>号</w:t>
      </w:r>
    </w:p>
    <w:p>
      <w:pPr>
        <w:pStyle w:val="0"/>
        <w:spacing w:after="0" w:afterLines="0" w:afterAutospacing="0" w:line="340" w:lineRule="exact"/>
        <w:jc w:val="right"/>
        <w:rPr>
          <w:rFonts w:hint="default"/>
        </w:rPr>
      </w:pPr>
      <w:r>
        <w:rPr>
          <w:rFonts w:hint="eastAsia"/>
        </w:rPr>
        <w:t>　　　　　　　年　　　月　　　日</w:t>
      </w:r>
    </w:p>
    <w:p>
      <w:pPr>
        <w:pStyle w:val="0"/>
        <w:spacing w:after="0" w:afterLines="0" w:afterAutospacing="0" w:line="340" w:lineRule="exact"/>
        <w:ind w:right="208"/>
        <w:jc w:val="right"/>
        <w:rPr>
          <w:rFonts w:hint="default"/>
        </w:rPr>
      </w:pPr>
    </w:p>
    <w:p>
      <w:pPr>
        <w:pStyle w:val="0"/>
        <w:spacing w:after="0" w:afterLines="0" w:afterAutospacing="0" w:line="340" w:lineRule="exact"/>
        <w:rPr>
          <w:rFonts w:hint="default"/>
        </w:rPr>
      </w:pPr>
      <w:r>
        <w:rPr>
          <w:rFonts w:hint="eastAsia"/>
        </w:rPr>
        <w:t>　　　　　　　　　様</w:t>
      </w:r>
    </w:p>
    <w:p>
      <w:pPr>
        <w:pStyle w:val="0"/>
        <w:spacing w:after="0" w:afterLines="0" w:afterAutospacing="0" w:line="340" w:lineRule="exact"/>
        <w:rPr>
          <w:rFonts w:hint="default"/>
        </w:rPr>
      </w:pPr>
    </w:p>
    <w:p>
      <w:pPr>
        <w:pStyle w:val="0"/>
        <w:spacing w:after="0" w:afterLines="0" w:afterAutospacing="0" w:line="340" w:lineRule="exact"/>
        <w:ind w:firstLine="6816" w:firstLineChars="3286"/>
        <w:jc w:val="left"/>
        <w:rPr>
          <w:rFonts w:hint="default"/>
        </w:rPr>
      </w:pPr>
      <w:r>
        <w:rPr>
          <w:rFonts w:hint="eastAsia"/>
        </w:rPr>
        <w:t>ニセコ町長</w:t>
      </w:r>
    </w:p>
    <w:p>
      <w:pPr>
        <w:pStyle w:val="0"/>
        <w:spacing w:after="0" w:afterLines="0" w:afterAutospacing="0" w:line="340" w:lineRule="exact"/>
        <w:rPr>
          <w:rFonts w:hint="default"/>
        </w:rPr>
      </w:pPr>
    </w:p>
    <w:p>
      <w:pPr>
        <w:pStyle w:val="0"/>
        <w:spacing w:after="0" w:afterLines="0" w:afterAutospacing="0" w:line="340" w:lineRule="exact"/>
        <w:jc w:val="center"/>
        <w:rPr>
          <w:rFonts w:hint="default"/>
        </w:rPr>
      </w:pPr>
      <w:r>
        <w:rPr>
          <w:rFonts w:hint="eastAsia"/>
        </w:rPr>
        <w:t>ニセコ町脱炭素・再エネ推進事業補助金財産処分審査結果通知書</w:t>
      </w:r>
    </w:p>
    <w:p>
      <w:pPr>
        <w:pStyle w:val="0"/>
        <w:spacing w:after="0" w:afterLines="0" w:afterAutospacing="0" w:line="340" w:lineRule="exact"/>
        <w:jc w:val="center"/>
        <w:rPr>
          <w:rFonts w:hint="default"/>
        </w:rPr>
      </w:pPr>
    </w:p>
    <w:p>
      <w:pPr>
        <w:pStyle w:val="0"/>
        <w:spacing w:after="0" w:afterLines="0" w:afterAutospacing="0" w:line="340" w:lineRule="exact"/>
        <w:jc w:val="left"/>
        <w:rPr>
          <w:rFonts w:hint="default"/>
        </w:rPr>
      </w:pPr>
    </w:p>
    <w:p>
      <w:pPr>
        <w:pStyle w:val="0"/>
        <w:spacing w:after="0" w:afterLines="0" w:afterAutospacing="0" w:line="340" w:lineRule="exact"/>
        <w:ind w:firstLine="695" w:firstLineChars="335"/>
        <w:jc w:val="left"/>
        <w:rPr>
          <w:rFonts w:hint="default"/>
        </w:rPr>
      </w:pPr>
      <w:r>
        <w:rPr>
          <w:rFonts w:hint="eastAsia"/>
        </w:rPr>
        <w:t>　　　年　　　月　　　日付けで財産処分申請のありましたニセコ町脱炭素・再エネ推進事業補助金適用設備等については、内容を審査した結果、財産処分の制限に係る承認をしたので下記のとおり通知します。</w:t>
      </w:r>
    </w:p>
    <w:p>
      <w:pPr>
        <w:pStyle w:val="0"/>
        <w:spacing w:after="0" w:afterLines="0" w:afterAutospacing="0" w:line="340" w:lineRule="exact"/>
        <w:jc w:val="left"/>
        <w:rPr>
          <w:rFonts w:hint="eastAsia"/>
        </w:rPr>
      </w:pPr>
    </w:p>
    <w:p>
      <w:pPr>
        <w:pStyle w:val="29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822"/>
        <w:gridCol w:w="5914"/>
      </w:tblGrid>
      <w:tr>
        <w:trPr>
          <w:trHeight w:val="508" w:hRule="atLeast"/>
        </w:trPr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/>
              </w:rPr>
            </w:pPr>
            <w:r>
              <w:rPr>
                <w:rFonts w:hint="eastAsia"/>
              </w:rPr>
              <w:t>財産処分</w:t>
            </w:r>
            <w:r>
              <w:rPr>
                <w:rFonts w:hint="default"/>
              </w:rPr>
              <w:t>対象設備</w:t>
            </w:r>
          </w:p>
        </w:tc>
        <w:tc>
          <w:tcPr>
            <w:tcW w:w="3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spacing w:after="0" w:afterLines="0" w:afterAutospacing="0" w:line="34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</w:t>
            </w:r>
            <w:r>
              <w:rPr>
                <w:rFonts w:hint="default"/>
                <w:sz w:val="21"/>
              </w:rPr>
              <w:t>　</w:t>
            </w:r>
            <w:r>
              <w:rPr>
                <w:rFonts w:hint="eastAsia"/>
                <w:sz w:val="21"/>
              </w:rPr>
              <w:t>太陽光発電設備</w:t>
            </w:r>
          </w:p>
          <w:p>
            <w:pPr>
              <w:pStyle w:val="19"/>
              <w:spacing w:after="0" w:afterLines="0" w:afterAutospacing="0" w:line="340" w:lineRule="exact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2</w:t>
            </w:r>
            <w:r>
              <w:rPr>
                <w:rFonts w:hint="default"/>
                <w:sz w:val="21"/>
              </w:rPr>
              <w:t>　</w:t>
            </w:r>
            <w:r>
              <w:rPr>
                <w:rFonts w:hint="eastAsia"/>
                <w:sz w:val="21"/>
              </w:rPr>
              <w:t>蓄電池</w:t>
            </w:r>
          </w:p>
          <w:p>
            <w:pPr>
              <w:pStyle w:val="19"/>
              <w:spacing w:after="0" w:afterLines="0" w:afterAutospacing="0"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3</w:t>
            </w:r>
            <w:r>
              <w:rPr>
                <w:rFonts w:hint="eastAsia"/>
                <w:sz w:val="21"/>
              </w:rPr>
              <w:t>　エネルギーマネジメントシステム</w:t>
            </w:r>
          </w:p>
          <w:p>
            <w:pPr>
              <w:pStyle w:val="19"/>
              <w:spacing w:after="0" w:afterLines="0" w:afterAutospacing="0"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4</w:t>
            </w:r>
            <w:r>
              <w:rPr>
                <w:rFonts w:hint="eastAsia"/>
                <w:sz w:val="21"/>
              </w:rPr>
              <w:t>　高効率空調設備</w:t>
            </w:r>
          </w:p>
          <w:p>
            <w:pPr>
              <w:pStyle w:val="19"/>
              <w:spacing w:after="0" w:afterLines="0" w:afterAutospacing="0"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5</w:t>
            </w:r>
            <w:r>
              <w:rPr>
                <w:rFonts w:hint="eastAsia"/>
                <w:sz w:val="21"/>
              </w:rPr>
              <w:t>　高効率給湯設備</w:t>
            </w:r>
          </w:p>
          <w:p>
            <w:pPr>
              <w:pStyle w:val="19"/>
              <w:spacing w:after="0" w:afterLines="0" w:afterAutospacing="0"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6</w:t>
            </w:r>
            <w:r>
              <w:rPr>
                <w:rFonts w:hint="eastAsia"/>
                <w:sz w:val="21"/>
              </w:rPr>
              <w:t>　新築戸建て住宅</w:t>
            </w:r>
          </w:p>
          <w:p>
            <w:pPr>
              <w:pStyle w:val="19"/>
              <w:spacing w:after="0" w:afterLines="0" w:afterAutospacing="0"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7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  <w:sz w:val="21"/>
              </w:rPr>
              <w:t>EV</w:t>
            </w:r>
            <w:r>
              <w:rPr>
                <w:rFonts w:hint="eastAsia"/>
                <w:sz w:val="21"/>
              </w:rPr>
              <w:t>自動車（カーシェア）</w:t>
            </w:r>
          </w:p>
        </w:tc>
      </w:tr>
      <w:tr>
        <w:trPr>
          <w:trHeight w:val="508" w:hRule="atLeast"/>
        </w:trPr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/>
              </w:rPr>
            </w:pPr>
            <w:r>
              <w:rPr>
                <w:rFonts w:hint="eastAsia"/>
              </w:rPr>
              <w:t>交付額確定年月日及び交付決定番号</w:t>
            </w:r>
          </w:p>
        </w:tc>
        <w:tc>
          <w:tcPr>
            <w:tcW w:w="3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spacing w:after="0" w:afterLines="0" w:afterAutospacing="0" w:line="340" w:lineRule="exact"/>
              <w:jc w:val="center"/>
              <w:rPr>
                <w:rFonts w:hint="default"/>
                <w:color w:val="auto"/>
                <w:sz w:val="21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  <w:sz w:val="21"/>
              </w:rPr>
              <w:t>　　　年　　　月　　　日</w:t>
            </w:r>
          </w:p>
          <w:p>
            <w:pPr>
              <w:pStyle w:val="19"/>
              <w:spacing w:after="0" w:afterLines="0" w:afterAutospacing="0" w:line="3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第　　　　　　　　　　　　号</w:t>
            </w:r>
          </w:p>
        </w:tc>
      </w:tr>
      <w:tr>
        <w:trPr>
          <w:trHeight w:val="558" w:hRule="atLeast"/>
        </w:trPr>
        <w:tc>
          <w:tcPr>
            <w:tcW w:w="1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rPr>
                <w:rFonts w:hint="default"/>
              </w:rPr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30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340" w:lineRule="exact"/>
              <w:ind w:right="87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金　　　　，０００円</w:t>
            </w:r>
          </w:p>
        </w:tc>
      </w:tr>
    </w:tbl>
    <w:p>
      <w:pPr>
        <w:pStyle w:val="0"/>
        <w:spacing w:after="0" w:afterLines="0" w:afterAutospacing="0" w:line="340" w:lineRule="exact"/>
        <w:jc w:val="left"/>
        <w:rPr>
          <w:rFonts w:hint="default"/>
        </w:rPr>
      </w:pPr>
    </w:p>
    <w:p>
      <w:pPr>
        <w:pStyle w:val="0"/>
        <w:spacing w:after="0" w:afterLines="0" w:afterAutospacing="0" w:line="340" w:lineRule="exact"/>
        <w:jc w:val="left"/>
        <w:rPr>
          <w:rFonts w:hint="default"/>
        </w:rPr>
      </w:pPr>
      <w:r>
        <w:rPr>
          <w:rFonts w:hint="eastAsia"/>
        </w:rPr>
        <w:t>１　承認の条件</w:t>
      </w:r>
    </w:p>
    <w:tbl>
      <w:tblPr>
        <w:tblStyle w:val="33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9736"/>
      </w:tblGrid>
      <w:tr>
        <w:trPr>
          <w:trHeight w:val="1952" w:hRule="atLeast"/>
        </w:trPr>
        <w:tc>
          <w:tcPr>
            <w:tcW w:w="5000" w:type="pct"/>
            <w:vAlign w:val="top"/>
          </w:tcPr>
          <w:p>
            <w:pPr>
              <w:pStyle w:val="0"/>
              <w:spacing w:after="0" w:afterLines="0" w:afterAutospacing="0" w:line="340" w:lineRule="exact"/>
              <w:jc w:val="left"/>
              <w:rPr>
                <w:rFonts w:hint="default"/>
              </w:rPr>
            </w:pPr>
          </w:p>
        </w:tc>
      </w:tr>
    </w:tbl>
    <w:p>
      <w:pPr>
        <w:pStyle w:val="0"/>
        <w:spacing w:after="0" w:afterLines="0" w:afterAutospacing="0" w:line="340" w:lineRule="exact"/>
        <w:jc w:val="left"/>
        <w:rPr>
          <w:rFonts w:hint="default"/>
        </w:rPr>
      </w:pPr>
    </w:p>
    <w:p>
      <w:pPr>
        <w:pStyle w:val="0"/>
        <w:spacing w:after="0" w:afterLines="0" w:afterAutospacing="0" w:line="340" w:lineRule="exact"/>
        <w:ind w:left="419" w:hanging="419" w:hangingChars="202"/>
        <w:rPr>
          <w:rFonts w:hint="default"/>
        </w:rPr>
      </w:pPr>
      <w:r>
        <w:rPr>
          <w:rFonts w:hint="eastAsia"/>
        </w:rPr>
        <w:t>２　この内容に対し不服のある補助事業者は、財産処分審査結果通知を受けた日から３０日以内に書面をもって不服を申し出ることができます。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AndChars" w:linePitch="360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 w:customStyle="1">
    <w:name w:val="標準；(Word文書)"/>
    <w:basedOn w:val="0"/>
    <w:next w:val="19"/>
    <w:link w:val="0"/>
    <w:uiPriority w:val="0"/>
    <w:pPr>
      <w:overflowPunct w:val="0"/>
      <w:textAlignment w:val="center"/>
    </w:pPr>
    <w:rPr>
      <w:color w:val="000000"/>
      <w:kern w:val="0"/>
      <w:sz w:val="22"/>
    </w:rPr>
  </w:style>
  <w:style w:type="paragraph" w:styleId="20">
    <w:name w:val="Revision"/>
    <w:next w:val="20"/>
    <w:link w:val="0"/>
    <w:uiPriority w:val="0"/>
    <w:rPr>
      <w:rFonts w:ascii="ＭＳ 明朝" w:hAnsi="ＭＳ 明朝" w:eastAsia="ＭＳ 明朝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 w:eastAsia="ＭＳ 明朝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 w:eastAsia="ＭＳ 明朝"/>
      <w:b w:val="1"/>
    </w:rPr>
  </w:style>
  <w:style w:type="paragraph" w:styleId="26">
    <w:name w:val="Balloon Text"/>
    <w:basedOn w:val="0"/>
    <w:next w:val="26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Note Heading"/>
    <w:basedOn w:val="0"/>
    <w:next w:val="0"/>
    <w:link w:val="30"/>
    <w:uiPriority w:val="0"/>
    <w:pPr>
      <w:jc w:val="center"/>
    </w:pPr>
  </w:style>
  <w:style w:type="character" w:styleId="30" w:customStyle="1">
    <w:name w:val="記 (文字)"/>
    <w:basedOn w:val="10"/>
    <w:next w:val="30"/>
    <w:link w:val="29"/>
    <w:uiPriority w:val="0"/>
    <w:rPr>
      <w:rFonts w:ascii="ＭＳ 明朝" w:hAnsi="ＭＳ 明朝" w:eastAsia="ＭＳ 明朝"/>
    </w:rPr>
  </w:style>
  <w:style w:type="paragraph" w:styleId="31">
    <w:name w:val="Closing"/>
    <w:basedOn w:val="0"/>
    <w:next w:val="31"/>
    <w:link w:val="32"/>
    <w:uiPriority w:val="0"/>
    <w:pPr>
      <w:jc w:val="right"/>
    </w:pPr>
  </w:style>
  <w:style w:type="character" w:styleId="32" w:customStyle="1">
    <w:name w:val="結語 (文字)"/>
    <w:basedOn w:val="10"/>
    <w:next w:val="32"/>
    <w:link w:val="31"/>
    <w:uiPriority w:val="0"/>
    <w:rPr>
      <w:rFonts w:ascii="ＭＳ 明朝" w:hAnsi="ＭＳ 明朝" w:eastAsia="ＭＳ 明朝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83</TotalTime>
  <Pages>1</Pages>
  <Words>10</Words>
  <Characters>317</Characters>
  <Lines>35</Lines>
  <Paragraphs>23</Paragraphs>
  <CharactersWithSpaces>420</CharactersWithSpaces>
  <AppVersion>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2023-05-31T02:36:00Z</dcterms:created>
  <dcterms:modified xsi:type="dcterms:W3CDTF">2024-08-21T11:48:24Z</dcterms:modified>
</cp:coreProperties>
</file>